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7.809998pt;margin-top:3.619777pt;width:1.44pt;height:92.184pt;mso-position-horizontal-relative:page;mso-position-vertical-relative:paragraph;z-index:15728640" filled="true" fillcolor="#183a6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1434100</wp:posOffset>
            </wp:positionH>
            <wp:positionV relativeFrom="paragraph">
              <wp:posOffset>150297</wp:posOffset>
            </wp:positionV>
            <wp:extent cx="762086" cy="9571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6" cy="9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PRESS</w:t>
      </w:r>
      <w:r>
        <w:rPr>
          <w:color w:val="003399"/>
          <w:spacing w:val="-5"/>
        </w:rPr>
        <w:t> </w:t>
      </w:r>
      <w:r>
        <w:rPr>
          <w:color w:val="003399"/>
        </w:rPr>
        <w:t>RELEASE</w:t>
      </w:r>
    </w:p>
    <w:p>
      <w:pPr>
        <w:spacing w:before="123"/>
        <w:ind w:left="4213" w:right="453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Public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Relations</w:t>
      </w:r>
      <w:r>
        <w:rPr>
          <w:rFonts w:ascii="Arial MT"/>
          <w:spacing w:val="-1"/>
          <w:sz w:val="22"/>
        </w:rPr>
        <w:t> </w:t>
      </w:r>
      <w:r>
        <w:rPr>
          <w:rFonts w:ascii="Arial MT"/>
          <w:sz w:val="22"/>
        </w:rPr>
        <w:t>Bureau</w:t>
      </w:r>
    </w:p>
    <w:p>
      <w:pPr>
        <w:spacing w:before="2"/>
        <w:ind w:left="4213" w:right="455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Bldg. I Fl. 2, Jl. M.I. Ridwan Rais No. 5, Jakarta 10110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Phone: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021-3860371/Fax: 021-3508711</w:t>
      </w:r>
    </w:p>
    <w:p>
      <w:pPr>
        <w:spacing w:line="251" w:lineRule="exact" w:before="0"/>
        <w:ind w:left="4213" w:right="455" w:firstLine="0"/>
        <w:jc w:val="center"/>
        <w:rPr>
          <w:rFonts w:ascii="Arial MT"/>
          <w:sz w:val="22"/>
        </w:rPr>
      </w:pPr>
      <w:hyperlink r:id="rId7">
        <w:r>
          <w:rPr>
            <w:rFonts w:ascii="Arial MT"/>
            <w:color w:val="0462C1"/>
            <w:sz w:val="22"/>
            <w:u w:val="single" w:color="0462C1"/>
          </w:rPr>
          <w:t>www.kemendag.go.id</w:t>
        </w:r>
      </w:hyperlink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7"/>
        </w:rPr>
      </w:pPr>
    </w:p>
    <w:p>
      <w:pPr>
        <w:spacing w:before="55"/>
        <w:ind w:left="1885" w:right="904" w:hanging="898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3370579</wp:posOffset>
            </wp:positionH>
            <wp:positionV relativeFrom="paragraph">
              <wp:posOffset>-844748</wp:posOffset>
            </wp:positionV>
            <wp:extent cx="1066800" cy="1028700"/>
            <wp:effectExtent l="0" t="0" r="0" b="0"/>
            <wp:wrapNone/>
            <wp:docPr id="5" name="image3.png" descr="BBI_Logo_Black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Leading the 55</w:t>
      </w:r>
      <w:r>
        <w:rPr>
          <w:b/>
          <w:sz w:val="32"/>
          <w:vertAlign w:val="superscript"/>
        </w:rPr>
        <w:t>th</w:t>
      </w:r>
      <w:r>
        <w:rPr>
          <w:b/>
          <w:sz w:val="32"/>
          <w:vertAlign w:val="baseline"/>
        </w:rPr>
        <w:t> AEM, Trade Minister Zulkifli Hasan Achieves</w:t>
      </w:r>
      <w:r>
        <w:rPr>
          <w:b/>
          <w:spacing w:val="-70"/>
          <w:sz w:val="32"/>
          <w:vertAlign w:val="baseline"/>
        </w:rPr>
        <w:t> </w:t>
      </w:r>
      <w:r>
        <w:rPr>
          <w:b/>
          <w:sz w:val="32"/>
          <w:vertAlign w:val="baseline"/>
        </w:rPr>
        <w:t>the</w:t>
      </w:r>
      <w:r>
        <w:rPr>
          <w:b/>
          <w:spacing w:val="-1"/>
          <w:sz w:val="32"/>
          <w:vertAlign w:val="baseline"/>
        </w:rPr>
        <w:t> </w:t>
      </w:r>
      <w:r>
        <w:rPr>
          <w:b/>
          <w:sz w:val="32"/>
          <w:vertAlign w:val="baseline"/>
        </w:rPr>
        <w:t>Completion</w:t>
      </w:r>
      <w:r>
        <w:rPr>
          <w:b/>
          <w:spacing w:val="-1"/>
          <w:sz w:val="32"/>
          <w:vertAlign w:val="baseline"/>
        </w:rPr>
        <w:t> </w:t>
      </w:r>
      <w:r>
        <w:rPr>
          <w:b/>
          <w:sz w:val="32"/>
          <w:vertAlign w:val="baseline"/>
        </w:rPr>
        <w:t>of</w:t>
      </w:r>
      <w:r>
        <w:rPr>
          <w:b/>
          <w:spacing w:val="-2"/>
          <w:sz w:val="32"/>
          <w:vertAlign w:val="baseline"/>
        </w:rPr>
        <w:t> </w:t>
      </w:r>
      <w:r>
        <w:rPr>
          <w:b/>
          <w:sz w:val="32"/>
          <w:vertAlign w:val="baseline"/>
        </w:rPr>
        <w:t>5</w:t>
      </w:r>
      <w:r>
        <w:rPr>
          <w:b/>
          <w:spacing w:val="-2"/>
          <w:sz w:val="32"/>
          <w:vertAlign w:val="baseline"/>
        </w:rPr>
        <w:t> </w:t>
      </w:r>
      <w:r>
        <w:rPr>
          <w:b/>
          <w:sz w:val="32"/>
          <w:vertAlign w:val="baseline"/>
        </w:rPr>
        <w:t>ASEAN</w:t>
      </w:r>
      <w:r>
        <w:rPr>
          <w:b/>
          <w:spacing w:val="-2"/>
          <w:sz w:val="32"/>
          <w:vertAlign w:val="baseline"/>
        </w:rPr>
        <w:t> </w:t>
      </w:r>
      <w:r>
        <w:rPr>
          <w:b/>
          <w:sz w:val="32"/>
          <w:vertAlign w:val="baseline"/>
        </w:rPr>
        <w:t>Economic</w:t>
      </w:r>
      <w:r>
        <w:rPr>
          <w:b/>
          <w:spacing w:val="-1"/>
          <w:sz w:val="32"/>
          <w:vertAlign w:val="baseline"/>
        </w:rPr>
        <w:t> </w:t>
      </w:r>
      <w:r>
        <w:rPr>
          <w:b/>
          <w:sz w:val="32"/>
          <w:vertAlign w:val="baseline"/>
        </w:rPr>
        <w:t>Priorities</w:t>
      </w:r>
    </w:p>
    <w:p>
      <w:pPr>
        <w:pStyle w:val="BodyText"/>
        <w:spacing w:before="243"/>
        <w:ind w:left="192" w:right="114"/>
        <w:jc w:val="both"/>
      </w:pPr>
      <w:r>
        <w:rPr>
          <w:b/>
        </w:rPr>
        <w:t>Semarang, 19 August 2023 </w:t>
      </w:r>
      <w:r>
        <w:rPr/>
        <w:t>– The 55</w:t>
      </w:r>
      <w:r>
        <w:rPr>
          <w:vertAlign w:val="superscript"/>
        </w:rPr>
        <w:t>th</w:t>
      </w:r>
      <w:r>
        <w:rPr>
          <w:vertAlign w:val="baseline"/>
        </w:rPr>
        <w:t> ASEAN Economic Ministers’ (AEM) Meeting succeeded in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completing five of the seven economic priorities. The 55th AEM meeting took place on Saturday</w:t>
      </w:r>
      <w:r>
        <w:rPr>
          <w:spacing w:val="1"/>
          <w:vertAlign w:val="baseline"/>
        </w:rPr>
        <w:t> </w:t>
      </w:r>
      <w:r>
        <w:rPr>
          <w:vertAlign w:val="baseline"/>
        </w:rPr>
        <w:t>(19/8)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Semarang,</w:t>
      </w:r>
      <w:r>
        <w:rPr>
          <w:spacing w:val="-6"/>
          <w:vertAlign w:val="baseline"/>
        </w:rPr>
        <w:t> </w:t>
      </w:r>
      <w:r>
        <w:rPr>
          <w:vertAlign w:val="baseline"/>
        </w:rPr>
        <w:t>Central</w:t>
      </w:r>
      <w:r>
        <w:rPr>
          <w:spacing w:val="-6"/>
          <w:vertAlign w:val="baseline"/>
        </w:rPr>
        <w:t> </w:t>
      </w:r>
      <w:r>
        <w:rPr>
          <w:vertAlign w:val="baseline"/>
        </w:rPr>
        <w:t>Java.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-6"/>
          <w:vertAlign w:val="baseline"/>
        </w:rPr>
        <w:t> </w:t>
      </w:r>
      <w:r>
        <w:rPr>
          <w:vertAlign w:val="baseline"/>
        </w:rPr>
        <w:t>chaired</w:t>
      </w:r>
      <w:r>
        <w:rPr>
          <w:spacing w:val="-5"/>
          <w:vertAlign w:val="baseline"/>
        </w:rPr>
        <w:t> </w:t>
      </w:r>
      <w:r>
        <w:rPr>
          <w:vertAlign w:val="baseline"/>
        </w:rPr>
        <w:t>by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Minister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Trade</w:t>
      </w:r>
      <w:r>
        <w:rPr>
          <w:spacing w:val="-6"/>
          <w:vertAlign w:val="baseline"/>
        </w:rPr>
        <w:t> </w:t>
      </w:r>
      <w:r>
        <w:rPr>
          <w:vertAlign w:val="baseline"/>
        </w:rPr>
        <w:t>Zulkifli</w:t>
      </w:r>
      <w:r>
        <w:rPr>
          <w:spacing w:val="-6"/>
          <w:vertAlign w:val="baseline"/>
        </w:rPr>
        <w:t> </w:t>
      </w:r>
      <w:r>
        <w:rPr>
          <w:vertAlign w:val="baseline"/>
        </w:rPr>
        <w:t>Hasan</w:t>
      </w:r>
      <w:r>
        <w:rPr>
          <w:spacing w:val="-5"/>
          <w:vertAlign w:val="baseline"/>
        </w:rPr>
        <w:t> </w:t>
      </w:r>
      <w:r>
        <w:rPr>
          <w:vertAlign w:val="baseline"/>
        </w:rPr>
        <w:t>is</w:t>
      </w:r>
      <w:r>
        <w:rPr>
          <w:spacing w:val="-6"/>
          <w:vertAlign w:val="baseline"/>
        </w:rPr>
        <w:t> </w:t>
      </w:r>
      <w:r>
        <w:rPr>
          <w:vertAlign w:val="baseline"/>
        </w:rPr>
        <w:t>part</w:t>
      </w:r>
      <w:r>
        <w:rPr>
          <w:spacing w:val="-52"/>
          <w:vertAlign w:val="baseline"/>
        </w:rPr>
        <w:t> </w:t>
      </w:r>
      <w:r>
        <w:rPr>
          <w:vertAlign w:val="baseline"/>
        </w:rPr>
        <w:t>of the series of the 55</w:t>
      </w:r>
      <w:r>
        <w:rPr>
          <w:vertAlign w:val="superscript"/>
        </w:rPr>
        <w:t>th</w:t>
      </w:r>
      <w:r>
        <w:rPr>
          <w:vertAlign w:val="baseline"/>
        </w:rPr>
        <w:t> AEM Meeting and Related Meetings which will take place 17-22 August</w:t>
      </w:r>
      <w:r>
        <w:rPr>
          <w:spacing w:val="1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2" w:right="112" w:firstLine="0"/>
        <w:jc w:val="both"/>
        <w:rPr>
          <w:sz w:val="24"/>
        </w:rPr>
      </w:pPr>
      <w:r>
        <w:rPr>
          <w:i/>
          <w:sz w:val="24"/>
        </w:rPr>
        <w:t>"As many as five of the seven ASEAN economic priorities were successfully completed at the 55</w:t>
      </w:r>
      <w:r>
        <w:rPr>
          <w:i/>
          <w:sz w:val="24"/>
          <w:vertAlign w:val="superscript"/>
        </w:rPr>
        <w:t>th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AEM Meeting. The AEM meeting was the fourth meeting out of a series of 19 meetings of the 55</w:t>
      </w:r>
      <w:r>
        <w:rPr>
          <w:i/>
          <w:sz w:val="24"/>
          <w:vertAlign w:val="superscript"/>
        </w:rPr>
        <w:t>th</w:t>
      </w:r>
      <w:r>
        <w:rPr>
          <w:i/>
          <w:spacing w:val="1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AEM</w:t>
      </w:r>
      <w:r>
        <w:rPr>
          <w:i/>
          <w:spacing w:val="-10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meeting.</w:t>
      </w:r>
      <w:r>
        <w:rPr>
          <w:i/>
          <w:spacing w:val="-12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The</w:t>
      </w:r>
      <w:r>
        <w:rPr>
          <w:i/>
          <w:spacing w:val="-11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meeting</w:t>
      </w:r>
      <w:r>
        <w:rPr>
          <w:i/>
          <w:spacing w:val="-13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was</w:t>
      </w:r>
      <w:r>
        <w:rPr>
          <w:i/>
          <w:spacing w:val="-9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attended</w:t>
      </w:r>
      <w:r>
        <w:rPr>
          <w:i/>
          <w:spacing w:val="-12"/>
          <w:sz w:val="24"/>
          <w:vertAlign w:val="baseline"/>
        </w:rPr>
        <w:t> </w:t>
      </w:r>
      <w:r>
        <w:rPr>
          <w:i/>
          <w:spacing w:val="-1"/>
          <w:sz w:val="24"/>
          <w:vertAlign w:val="baseline"/>
        </w:rPr>
        <w:t>by</w:t>
      </w:r>
      <w:r>
        <w:rPr>
          <w:i/>
          <w:spacing w:val="-10"/>
          <w:sz w:val="24"/>
          <w:vertAlign w:val="baseline"/>
        </w:rPr>
        <w:t> </w:t>
      </w:r>
      <w:r>
        <w:rPr>
          <w:i/>
          <w:sz w:val="24"/>
          <w:vertAlign w:val="baseline"/>
        </w:rPr>
        <w:t>ASEAN</w:t>
      </w:r>
      <w:r>
        <w:rPr>
          <w:i/>
          <w:spacing w:val="-12"/>
          <w:sz w:val="24"/>
          <w:vertAlign w:val="baseline"/>
        </w:rPr>
        <w:t> </w:t>
      </w:r>
      <w:r>
        <w:rPr>
          <w:i/>
          <w:sz w:val="24"/>
          <w:vertAlign w:val="baseline"/>
        </w:rPr>
        <w:t>Economic</w:t>
      </w:r>
      <w:r>
        <w:rPr>
          <w:i/>
          <w:spacing w:val="-11"/>
          <w:sz w:val="24"/>
          <w:vertAlign w:val="baseline"/>
        </w:rPr>
        <w:t> </w:t>
      </w:r>
      <w:r>
        <w:rPr>
          <w:i/>
          <w:sz w:val="24"/>
          <w:vertAlign w:val="baseline"/>
        </w:rPr>
        <w:t>Ministers</w:t>
      </w:r>
      <w:r>
        <w:rPr>
          <w:i/>
          <w:spacing w:val="-11"/>
          <w:sz w:val="24"/>
          <w:vertAlign w:val="baseline"/>
        </w:rPr>
        <w:t> </w:t>
      </w:r>
      <w:r>
        <w:rPr>
          <w:i/>
          <w:sz w:val="24"/>
          <w:vertAlign w:val="baseline"/>
        </w:rPr>
        <w:t>except</w:t>
      </w:r>
      <w:r>
        <w:rPr>
          <w:i/>
          <w:spacing w:val="-11"/>
          <w:sz w:val="24"/>
          <w:vertAlign w:val="baseline"/>
        </w:rPr>
        <w:t> </w:t>
      </w:r>
      <w:r>
        <w:rPr>
          <w:i/>
          <w:sz w:val="24"/>
          <w:vertAlign w:val="baseline"/>
        </w:rPr>
        <w:t>Myanmar,</w:t>
      </w:r>
      <w:r>
        <w:rPr>
          <w:i/>
          <w:spacing w:val="-9"/>
          <w:sz w:val="24"/>
          <w:vertAlign w:val="baseline"/>
        </w:rPr>
        <w:t> </w:t>
      </w:r>
      <w:r>
        <w:rPr>
          <w:i/>
          <w:sz w:val="24"/>
          <w:vertAlign w:val="baseline"/>
        </w:rPr>
        <w:t>the</w:t>
      </w:r>
      <w:r>
        <w:rPr>
          <w:i/>
          <w:spacing w:val="-11"/>
          <w:sz w:val="24"/>
          <w:vertAlign w:val="baseline"/>
        </w:rPr>
        <w:t> </w:t>
      </w:r>
      <w:r>
        <w:rPr>
          <w:i/>
          <w:sz w:val="24"/>
          <w:vertAlign w:val="baseline"/>
        </w:rPr>
        <w:t>Timor-</w:t>
      </w:r>
      <w:r>
        <w:rPr>
          <w:i/>
          <w:spacing w:val="-51"/>
          <w:sz w:val="24"/>
          <w:vertAlign w:val="baseline"/>
        </w:rPr>
        <w:t> </w:t>
      </w:r>
      <w:r>
        <w:rPr>
          <w:i/>
          <w:sz w:val="24"/>
          <w:vertAlign w:val="baseline"/>
        </w:rPr>
        <w:t>Leste Minister of Trade and Industry Filipus Nino Pereira, and the ASEAN Secretary General Dr. Kao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Kim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Hourn," </w:t>
      </w:r>
      <w:r>
        <w:rPr>
          <w:sz w:val="24"/>
          <w:vertAlign w:val="baseline"/>
        </w:rPr>
        <w:t>said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Trade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Minister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Zulkifli Hasan.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2" w:right="114"/>
        <w:jc w:val="both"/>
      </w:pPr>
      <w:r>
        <w:rPr/>
        <w:t>Trade Minister Zulkifli Hasan explained the five priority achievements, namely the comprehensive</w:t>
      </w:r>
      <w:r>
        <w:rPr>
          <w:spacing w:val="1"/>
        </w:rPr>
        <w:t> </w:t>
      </w:r>
      <w:r>
        <w:rPr/>
        <w:t>completion of the ASEAN Services Facilitation Framework (ASFF), the ratification of studies related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ASEAN</w:t>
      </w:r>
      <w:r>
        <w:rPr>
          <w:spacing w:val="-5"/>
        </w:rPr>
        <w:t> </w:t>
      </w:r>
      <w:r>
        <w:rPr/>
        <w:t>Digital</w:t>
      </w:r>
      <w:r>
        <w:rPr>
          <w:spacing w:val="-4"/>
        </w:rPr>
        <w:t> </w:t>
      </w:r>
      <w:r>
        <w:rPr/>
        <w:t>Economy</w:t>
      </w:r>
      <w:r>
        <w:rPr>
          <w:spacing w:val="-4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(DEFA),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signing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Second</w:t>
      </w:r>
      <w:r>
        <w:rPr>
          <w:spacing w:val="-3"/>
        </w:rPr>
        <w:t> </w:t>
      </w:r>
      <w:r>
        <w:rPr/>
        <w:t>Protocol</w:t>
      </w:r>
      <w:r>
        <w:rPr>
          <w:spacing w:val="-1"/>
        </w:rPr>
        <w:t> </w:t>
      </w:r>
      <w:r>
        <w:rPr/>
        <w:t>to</w:t>
      </w:r>
      <w:r>
        <w:rPr>
          <w:spacing w:val="-52"/>
        </w:rPr>
        <w:t> </w:t>
      </w:r>
      <w:r>
        <w:rPr/>
        <w:t>Amend the ASEAN Australia New Zealand Free Trade Area (AANZFTA) Framework Agreement, the</w:t>
      </w:r>
      <w:r>
        <w:rPr>
          <w:spacing w:val="1"/>
        </w:rPr>
        <w:t> </w:t>
      </w:r>
      <w:r>
        <w:rPr/>
        <w:t>ratification of the Ministerial Declaration</w:t>
      </w:r>
      <w:r>
        <w:rPr>
          <w:spacing w:val="1"/>
        </w:rPr>
        <w:t> </w:t>
      </w:r>
      <w:r>
        <w:rPr/>
        <w:t>regarding the Framework for Project-Based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Initiatives in ASEAN, and the ratification of the Terms of Reference (TOR) of the Establishment of</w:t>
      </w:r>
      <w:r>
        <w:rPr>
          <w:spacing w:val="1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Comprehensive</w:t>
      </w:r>
      <w:r>
        <w:rPr>
          <w:spacing w:val="-4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(RCEP)</w:t>
      </w:r>
      <w:r>
        <w:rPr>
          <w:spacing w:val="-4"/>
        </w:rPr>
        <w:t> </w:t>
      </w:r>
      <w:r>
        <w:rPr/>
        <w:t>Support</w:t>
      </w:r>
      <w:r>
        <w:rPr>
          <w:spacing w:val="-1"/>
        </w:rPr>
        <w:t> </w:t>
      </w:r>
      <w:r>
        <w:rPr/>
        <w:t>Units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ASEAN</w:t>
      </w:r>
      <w:r>
        <w:rPr>
          <w:spacing w:val="-1"/>
        </w:rPr>
        <w:t> </w:t>
      </w:r>
      <w:r>
        <w:rPr/>
        <w:t>Secretariat.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2" w:right="11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Zulkifli</w:t>
      </w:r>
      <w:r>
        <w:rPr>
          <w:spacing w:val="1"/>
          <w:sz w:val="24"/>
        </w:rPr>
        <w:t> </w:t>
      </w:r>
      <w:r>
        <w:rPr>
          <w:sz w:val="24"/>
        </w:rPr>
        <w:t>Hasan</w:t>
      </w:r>
      <w:r>
        <w:rPr>
          <w:spacing w:val="1"/>
          <w:sz w:val="24"/>
        </w:rPr>
        <w:t> </w:t>
      </w:r>
      <w:r>
        <w:rPr>
          <w:sz w:val="24"/>
        </w:rPr>
        <w:t>continued,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ASEAN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priority</w:t>
      </w:r>
      <w:r>
        <w:rPr>
          <w:spacing w:val="1"/>
          <w:sz w:val="24"/>
        </w:rPr>
        <w:t> </w:t>
      </w:r>
      <w:r>
        <w:rPr>
          <w:sz w:val="24"/>
        </w:rPr>
        <w:t>achievements are targeted for completion by the end of 2023. </w:t>
      </w:r>
      <w:r>
        <w:rPr>
          <w:i/>
          <w:sz w:val="24"/>
        </w:rPr>
        <w:t>“The two priority achievements are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Full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implementation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Electronic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Certificates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Origin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(e-Form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D)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Single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Window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(ASW)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Finalization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Standards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Harmonization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Road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Map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Implementation,”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added.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2" w:right="123"/>
        <w:jc w:val="both"/>
      </w:pPr>
      <w:r>
        <w:rPr/>
        <w:t>Meanwhile, in his remarks at the opening of AEM, Trade Minister Zulkifli Hasan revealed that</w:t>
      </w:r>
      <w:r>
        <w:rPr>
          <w:spacing w:val="1"/>
        </w:rPr>
        <w:t> </w:t>
      </w:r>
      <w:r>
        <w:rPr/>
        <w:t>Indonesia's</w:t>
      </w:r>
      <w:r>
        <w:rPr>
          <w:spacing w:val="-2"/>
        </w:rPr>
        <w:t> </w:t>
      </w:r>
      <w:r>
        <w:rPr/>
        <w:t>chairmanship in</w:t>
      </w:r>
      <w:r>
        <w:rPr>
          <w:spacing w:val="-2"/>
        </w:rPr>
        <w:t> </w:t>
      </w:r>
      <w:r>
        <w:rPr/>
        <w:t>ASEAN was</w:t>
      </w:r>
      <w:r>
        <w:rPr>
          <w:spacing w:val="-1"/>
        </w:rPr>
        <w:t> </w:t>
      </w:r>
      <w:r>
        <w:rPr/>
        <w:t>carried out</w:t>
      </w:r>
      <w:r>
        <w:rPr>
          <w:spacing w:val="3"/>
        </w:rPr>
        <w:t> </w:t>
      </w:r>
      <w:r>
        <w:rPr/>
        <w:t>amid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 full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challenges.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92" w:right="115" w:firstLine="0"/>
        <w:jc w:val="both"/>
        <w:rPr>
          <w:sz w:val="24"/>
        </w:rPr>
      </w:pPr>
      <w:r>
        <w:rPr>
          <w:i/>
          <w:sz w:val="24"/>
        </w:rPr>
        <w:t>"Through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theme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year's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Chairmanship,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'ASEAN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Matters: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Epicentrum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Growth',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see ASEAN as very important and relevant. ASEAN must also become a center for 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continue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inclusive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regional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architecture.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want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encourage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become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stronger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respond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various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forward,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strengthening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unity,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ASEAN centrality," </w:t>
      </w:r>
      <w:r>
        <w:rPr>
          <w:sz w:val="24"/>
        </w:rPr>
        <w:t>added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-2"/>
          <w:sz w:val="24"/>
        </w:rPr>
        <w:t> </w:t>
      </w: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Zulkifli</w:t>
      </w:r>
      <w:r>
        <w:rPr>
          <w:spacing w:val="-5"/>
          <w:sz w:val="24"/>
        </w:rPr>
        <w:t> </w:t>
      </w:r>
      <w:r>
        <w:rPr>
          <w:sz w:val="24"/>
        </w:rPr>
        <w:t>Hasan.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20" w:h="16850"/>
          <w:pgMar w:footer="471" w:top="920" w:bottom="660" w:left="940" w:right="1020"/>
          <w:pgNumType w:start="1"/>
        </w:sectPr>
      </w:pPr>
    </w:p>
    <w:p>
      <w:pPr>
        <w:tabs>
          <w:tab w:pos="5154" w:val="left" w:leader="none"/>
        </w:tabs>
        <w:spacing w:line="240" w:lineRule="auto"/>
        <w:ind w:left="3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11683" cy="1936242"/>
            <wp:effectExtent l="0" t="0" r="0" b="0"/>
            <wp:docPr id="7" name="image4.jpeg" descr="D:\Humas\2023\Siaran Pers\Agustus\AEM 55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683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911683" cy="1936242"/>
            <wp:effectExtent l="0" t="0" r="0" b="0"/>
            <wp:docPr id="9" name="image5.jpeg" descr="D:\Humas\2023\Siaran Pers\Agustus\AEM 55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683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811530</wp:posOffset>
            </wp:positionH>
            <wp:positionV relativeFrom="paragraph">
              <wp:posOffset>136017</wp:posOffset>
            </wp:positionV>
            <wp:extent cx="2903197" cy="1932051"/>
            <wp:effectExtent l="0" t="0" r="0" b="0"/>
            <wp:wrapTopAndBottom/>
            <wp:docPr id="11" name="image6.jpeg" descr="D:\Humas\2023\Siaran Pers\Agustus\AEM 55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197" cy="1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3869690</wp:posOffset>
            </wp:positionH>
            <wp:positionV relativeFrom="paragraph">
              <wp:posOffset>136017</wp:posOffset>
            </wp:positionV>
            <wp:extent cx="2905131" cy="1936242"/>
            <wp:effectExtent l="0" t="0" r="0" b="0"/>
            <wp:wrapTopAndBottom/>
            <wp:docPr id="13" name="image7.jpeg" descr="D:\Humas\2023\Siaran Pers\Agustus\AEM 55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31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52"/>
        <w:ind w:left="532" w:right="455"/>
        <w:jc w:val="center"/>
      </w:pPr>
      <w:r>
        <w:rPr/>
        <w:t>--end--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5631"/>
      </w:tblGrid>
      <w:tr>
        <w:trPr>
          <w:trHeight w:val="1562" w:hRule="atLeast"/>
        </w:trPr>
        <w:tc>
          <w:tcPr>
            <w:tcW w:w="4115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line="267" w:lineRule="exact"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98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5631" w:type="dxa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67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spacing w:line="267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45" w:lineRule="exact" w:before="1"/>
              <w:ind w:left="340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dina.kurniasari@kemendag.go.id</w:t>
              </w:r>
            </w:hyperlink>
          </w:p>
        </w:tc>
      </w:tr>
    </w:tbl>
    <w:sectPr>
      <w:pgSz w:w="11920" w:h="16850"/>
      <w:pgMar w:header="0" w:footer="471" w:top="1000" w:bottom="66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1248">
          <wp:simplePos x="0" y="0"/>
          <wp:positionH relativeFrom="page">
            <wp:posOffset>1105577</wp:posOffset>
          </wp:positionH>
          <wp:positionV relativeFrom="page">
            <wp:posOffset>10267950</wp:posOffset>
          </wp:positionV>
          <wp:extent cx="5440757" cy="1771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757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4180" w:right="455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kemendag.go.id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dina.kurniasari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Syah</dc:creator>
  <dcterms:created xsi:type="dcterms:W3CDTF">2023-08-20T07:19:13Z</dcterms:created>
  <dcterms:modified xsi:type="dcterms:W3CDTF">2023-08-20T07:19:13Z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2023-08-20T00:00:00Z</vt:filetime>
  </property>
</Properties>
</file>